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、请在完成后将本文档上传即可，也可以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747"/>
      </w:tblGrid>
      <w:tr w:rsidR="00A815EE" w:rsidRPr="00A815EE" w:rsidTr="007F2768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747" w:type="dxa"/>
          </w:tcPr>
          <w:p w:rsidR="00740EE2" w:rsidRPr="00740EE2" w:rsidRDefault="00740EE2" w:rsidP="00740EE2">
            <w:pPr>
              <w:spacing w:line="220" w:lineRule="atLeast"/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 w:rsidRPr="00740EE2">
              <w:rPr>
                <w:rFonts w:ascii="Batang" w:eastAsia="Batang" w:hAnsi="Batang"/>
                <w:b/>
                <w:bCs/>
                <w:sz w:val="24"/>
                <w:szCs w:val="24"/>
              </w:rPr>
              <w:t>Abstract</w:t>
            </w:r>
          </w:p>
          <w:p w:rsidR="000F440A" w:rsidRDefault="00740EE2" w:rsidP="00740EE2">
            <w:pPr>
              <w:spacing w:line="220" w:lineRule="atLeast"/>
              <w:rPr>
                <w:rFonts w:ascii="Batang" w:eastAsiaTheme="minorEastAsia" w:hAnsi="Batang" w:hint="eastAsia"/>
                <w:sz w:val="24"/>
                <w:szCs w:val="24"/>
              </w:rPr>
            </w:pPr>
            <w:r w:rsidRPr="00740EE2">
              <w:rPr>
                <w:rFonts w:ascii="Batang" w:eastAsia="Batang" w:hAnsi="Batang"/>
                <w:sz w:val="24"/>
                <w:szCs w:val="24"/>
              </w:rPr>
              <w:t xml:space="preserve">A device for delivery of a radiopharmaceutical and, in some embodiments, delivery of a pharmaceutical agent </w:t>
            </w:r>
            <w:proofErr w:type="spellStart"/>
            <w:r w:rsidRPr="00740EE2">
              <w:rPr>
                <w:rFonts w:ascii="Batang" w:eastAsia="Batang" w:hAnsi="Batang"/>
                <w:sz w:val="24"/>
                <w:szCs w:val="24"/>
              </w:rPr>
              <w:t>aredescribed</w:t>
            </w:r>
            <w:proofErr w:type="spellEnd"/>
            <w:r w:rsidRPr="00740EE2">
              <w:rPr>
                <w:rFonts w:ascii="Batang" w:eastAsia="Batang" w:hAnsi="Batang"/>
                <w:sz w:val="24"/>
                <w:szCs w:val="24"/>
              </w:rPr>
              <w:t xml:space="preserve"> herein.  Various other components for delivery systems including tubing management systems, primer caps, diffusion chambers, radiation shields and syringe shields, and other devices and methods are also described.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>Claims:</w:t>
            </w:r>
          </w:p>
          <w:p w:rsidR="00740EE2" w:rsidRPr="00740EE2" w:rsidRDefault="00740EE2" w:rsidP="00740EE2">
            <w:pPr>
              <w:tabs>
                <w:tab w:val="left" w:pos="720"/>
              </w:tabs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>
              <w:rPr>
                <w:rFonts w:ascii="Batang" w:eastAsiaTheme="minorEastAsia" w:hAnsi="Batang" w:hint="eastAsia"/>
                <w:sz w:val="24"/>
                <w:szCs w:val="24"/>
              </w:rPr>
              <w:t>1.</w:t>
            </w:r>
            <w:r w:rsidRPr="00740EE2">
              <w:rPr>
                <w:rFonts w:ascii="Batang" w:eastAsiaTheme="minorEastAsia" w:hAnsi="Batang"/>
                <w:sz w:val="24"/>
                <w:szCs w:val="24"/>
              </w:rPr>
              <w:t>A tubing management system comprising: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 xml:space="preserve">a tubing channel; 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 xml:space="preserve">a shield plate covering the tubing channel; 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 xml:space="preserve">at least one pulley positioned to move forward and aft within the tubing channel; 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lastRenderedPageBreak/>
              <w:t>a spindle extending through the pulley;</w:t>
            </w:r>
          </w:p>
          <w:p w:rsidR="00740EE2" w:rsidRPr="00740EE2" w:rsidRDefault="00740EE2" w:rsidP="00740EE2">
            <w:pPr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>a handle disposed on an end of the spindle extending through the shield plate; and a slide contacting the spindle opposite the handle; and a track having an upper channel and a lower channel configured to accept the slide.</w:t>
            </w:r>
          </w:p>
          <w:p w:rsidR="00740EE2" w:rsidRDefault="00740EE2" w:rsidP="00740EE2">
            <w:pPr>
              <w:numPr>
                <w:ilvl w:val="0"/>
                <w:numId w:val="1"/>
              </w:numPr>
              <w:tabs>
                <w:tab w:val="left" w:pos="720"/>
              </w:tabs>
              <w:spacing w:line="220" w:lineRule="atLeast"/>
              <w:rPr>
                <w:rFonts w:ascii="Batang" w:eastAsiaTheme="minorEastAsia" w:hAnsi="Batang" w:hint="eastAsia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>The tubing management system of claim 1, wherein the pulley further comprises a circumferential groove.</w:t>
            </w:r>
          </w:p>
          <w:p w:rsidR="00740EE2" w:rsidRPr="00740EE2" w:rsidRDefault="00740EE2" w:rsidP="00740EE2">
            <w:pPr>
              <w:numPr>
                <w:ilvl w:val="0"/>
                <w:numId w:val="1"/>
              </w:numPr>
              <w:tabs>
                <w:tab w:val="left" w:pos="720"/>
              </w:tabs>
              <w:spacing w:line="220" w:lineRule="atLeast"/>
              <w:rPr>
                <w:rFonts w:ascii="Batang" w:eastAsiaTheme="minorEastAsia" w:hAnsi="Batang"/>
                <w:sz w:val="24"/>
                <w:szCs w:val="24"/>
              </w:rPr>
            </w:pPr>
            <w:r w:rsidRPr="00740EE2">
              <w:rPr>
                <w:rFonts w:ascii="Batang" w:eastAsiaTheme="minorEastAsia" w:hAnsi="Batang"/>
                <w:sz w:val="24"/>
                <w:szCs w:val="24"/>
              </w:rPr>
              <w:t>The tubing management system of claim 2, wherein the circumferential groove comprises a large side wall and a short side wall opposite the large side wall and wherein the short sidewall faces the shield plate.</w:t>
            </w:r>
          </w:p>
          <w:p w:rsidR="00A815EE" w:rsidRPr="00A815EE" w:rsidRDefault="00301C9C" w:rsidP="00301C9C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24"/>
                <w:u w:val="single"/>
              </w:rPr>
              <w:t xml:space="preserve">                                    </w:t>
            </w:r>
          </w:p>
        </w:tc>
      </w:tr>
      <w:tr w:rsidR="00A815EE" w:rsidRPr="00A815EE" w:rsidTr="007F2768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747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99" w:rsidRDefault="004A0299" w:rsidP="00A815EE">
      <w:pPr>
        <w:spacing w:after="0"/>
      </w:pPr>
      <w:r>
        <w:separator/>
      </w:r>
    </w:p>
  </w:endnote>
  <w:endnote w:type="continuationSeparator" w:id="0">
    <w:p w:rsidR="004A0299" w:rsidRDefault="004A0299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99" w:rsidRDefault="004A0299" w:rsidP="00A815EE">
      <w:pPr>
        <w:spacing w:after="0"/>
      </w:pPr>
      <w:r>
        <w:separator/>
      </w:r>
    </w:p>
  </w:footnote>
  <w:footnote w:type="continuationSeparator" w:id="0">
    <w:p w:rsidR="004A0299" w:rsidRDefault="004A0299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DC3775">
    <w:pPr>
      <w:pStyle w:val="a3"/>
      <w:jc w:val="both"/>
      <w:rPr>
        <w:rFonts w:eastAsia="Times New Roman" w:cs="Times New Roman"/>
      </w:rPr>
    </w:pPr>
    <w:r w:rsidRPr="00DC3775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E265"/>
    <w:multiLevelType w:val="hybridMultilevel"/>
    <w:tmpl w:val="5549E2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</w:lvl>
    </w:lvlOverride>
    <w:lvlOverride w:ilvl="1">
      <w:lvl w:ilvl="1" w:tplc="FFFFFFFF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FFFFFFFF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FFFFFFFF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FFFFFFFF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FFFFFFFF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FFFFFFFF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14B"/>
    <w:rsid w:val="000A07FD"/>
    <w:rsid w:val="000D141A"/>
    <w:rsid w:val="000F440A"/>
    <w:rsid w:val="002268A8"/>
    <w:rsid w:val="0029272B"/>
    <w:rsid w:val="002B27FE"/>
    <w:rsid w:val="00301C9C"/>
    <w:rsid w:val="00323B43"/>
    <w:rsid w:val="003968C6"/>
    <w:rsid w:val="003B58BA"/>
    <w:rsid w:val="003D37D8"/>
    <w:rsid w:val="00426133"/>
    <w:rsid w:val="004358AB"/>
    <w:rsid w:val="00453200"/>
    <w:rsid w:val="004A0299"/>
    <w:rsid w:val="00736114"/>
    <w:rsid w:val="00740EE2"/>
    <w:rsid w:val="0078361A"/>
    <w:rsid w:val="007A507F"/>
    <w:rsid w:val="007F2768"/>
    <w:rsid w:val="00851C78"/>
    <w:rsid w:val="008B7726"/>
    <w:rsid w:val="00920AE9"/>
    <w:rsid w:val="00964806"/>
    <w:rsid w:val="0096702D"/>
    <w:rsid w:val="009D1193"/>
    <w:rsid w:val="00A15A92"/>
    <w:rsid w:val="00A815EE"/>
    <w:rsid w:val="00AC42F1"/>
    <w:rsid w:val="00B56FD9"/>
    <w:rsid w:val="00B7458F"/>
    <w:rsid w:val="00C30AF3"/>
    <w:rsid w:val="00CC3CED"/>
    <w:rsid w:val="00D31D50"/>
    <w:rsid w:val="00DC3775"/>
    <w:rsid w:val="00E93D03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2016-03-11T06:11:00Z</dcterms:modified>
</cp:coreProperties>
</file>